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3C3E53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proofErr w:type="spellStart"/>
      <w:r w:rsidRPr="003C3E53">
        <w:rPr>
          <w:b/>
          <w:color w:val="000000"/>
          <w:sz w:val="28"/>
        </w:rPr>
        <w:t>Wwft</w:t>
      </w:r>
      <w:proofErr w:type="spellEnd"/>
      <w:r w:rsidRPr="003C3E53">
        <w:rPr>
          <w:b/>
          <w:color w:val="000000"/>
          <w:sz w:val="28"/>
        </w:rPr>
        <w:t xml:space="preserve"> in de praktijk</w:t>
      </w:r>
      <w:r>
        <w:rPr>
          <w:b/>
          <w:color w:val="000000"/>
          <w:sz w:val="28"/>
        </w:rPr>
        <w:t xml:space="preserve"> 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3C3E53" w:rsidP="003C3E53">
      <w:pPr>
        <w:jc w:val="both"/>
        <w:rPr>
          <w:b/>
        </w:rPr>
      </w:pPr>
      <w:r w:rsidRPr="003C3E53">
        <w:rPr>
          <w:b/>
        </w:rPr>
        <w:t>Administratie- en belastingdeskundigen dienen te voldoen</w:t>
      </w:r>
      <w:r>
        <w:rPr>
          <w:b/>
        </w:rPr>
        <w:t xml:space="preserve"> </w:t>
      </w:r>
      <w:r w:rsidRPr="003C3E53">
        <w:rPr>
          <w:b/>
        </w:rPr>
        <w:t>aan het gestelde in de Wet ter voorkoming van witwassen en</w:t>
      </w:r>
      <w:r>
        <w:rPr>
          <w:b/>
        </w:rPr>
        <w:t xml:space="preserve"> </w:t>
      </w:r>
      <w:r w:rsidRPr="003C3E53">
        <w:rPr>
          <w:b/>
        </w:rPr>
        <w:t>financieren van terrorisme (</w:t>
      </w:r>
      <w:proofErr w:type="spellStart"/>
      <w:r w:rsidRPr="003C3E53">
        <w:rPr>
          <w:b/>
        </w:rPr>
        <w:t>Wwft</w:t>
      </w:r>
      <w:proofErr w:type="spellEnd"/>
      <w:r w:rsidRPr="003C3E53">
        <w:rPr>
          <w:b/>
        </w:rPr>
        <w:t>). De verplichtingen uit</w:t>
      </w:r>
      <w:r>
        <w:rPr>
          <w:b/>
        </w:rPr>
        <w:t xml:space="preserve"> </w:t>
      </w:r>
      <w:r w:rsidRPr="003C3E53">
        <w:rPr>
          <w:b/>
        </w:rPr>
        <w:t>hoofde van deze wet, zoals het cliëntenonderzoek en het melden</w:t>
      </w:r>
      <w:r>
        <w:rPr>
          <w:b/>
        </w:rPr>
        <w:t xml:space="preserve"> </w:t>
      </w:r>
      <w:r w:rsidRPr="003C3E53">
        <w:rPr>
          <w:b/>
        </w:rPr>
        <w:t>van ongebruikelijke transacties, geven richting aan goede</w:t>
      </w:r>
      <w:r>
        <w:rPr>
          <w:b/>
        </w:rPr>
        <w:t xml:space="preserve"> </w:t>
      </w:r>
      <w:r w:rsidRPr="003C3E53">
        <w:rPr>
          <w:b/>
        </w:rPr>
        <w:t>en integere dienstverlening. Met de inwerkingtreding van de</w:t>
      </w:r>
      <w:r>
        <w:rPr>
          <w:b/>
        </w:rPr>
        <w:t xml:space="preserve"> </w:t>
      </w:r>
      <w:r w:rsidRPr="003C3E53">
        <w:rPr>
          <w:b/>
        </w:rPr>
        <w:t>4e anti-witwasrichtlijn in juni 2017 en als gevolg daarvan sterke</w:t>
      </w:r>
      <w:r>
        <w:rPr>
          <w:b/>
        </w:rPr>
        <w:t xml:space="preserve"> </w:t>
      </w:r>
      <w:r w:rsidRPr="003C3E53">
        <w:rPr>
          <w:b/>
        </w:rPr>
        <w:t xml:space="preserve">wijziging van de </w:t>
      </w:r>
      <w:proofErr w:type="spellStart"/>
      <w:r w:rsidRPr="003C3E53">
        <w:rPr>
          <w:b/>
        </w:rPr>
        <w:t>Wwft</w:t>
      </w:r>
      <w:proofErr w:type="spellEnd"/>
      <w:r w:rsidRPr="003C3E53">
        <w:rPr>
          <w:b/>
        </w:rPr>
        <w:t xml:space="preserve"> in juli 2018, is het aantal verplichtingen</w:t>
      </w:r>
      <w:r>
        <w:rPr>
          <w:b/>
        </w:rPr>
        <w:t xml:space="preserve"> </w:t>
      </w:r>
      <w:r w:rsidRPr="003C3E53">
        <w:rPr>
          <w:b/>
        </w:rPr>
        <w:t>en de omvang daarvan sterk toegenomen</w:t>
      </w:r>
      <w:r w:rsidR="007F40A5">
        <w:rPr>
          <w:b/>
        </w:rPr>
        <w:t>.</w:t>
      </w:r>
      <w:r w:rsidR="004471BE">
        <w:rPr>
          <w:b/>
        </w:rPr>
        <w:t xml:space="preserve"> </w:t>
      </w:r>
    </w:p>
    <w:p w:rsidR="003C3E53" w:rsidRDefault="003C3E53" w:rsidP="003C3E53">
      <w:pPr>
        <w:jc w:val="both"/>
      </w:pPr>
      <w:r>
        <w:t xml:space="preserve">De </w:t>
      </w:r>
      <w:proofErr w:type="spellStart"/>
      <w:r>
        <w:t>Wwft</w:t>
      </w:r>
      <w:proofErr w:type="spellEnd"/>
      <w:r>
        <w:t xml:space="preserve"> kent vergaande consequenties voor NOAB-kantoren met betrekking tot o.a. het cliëntenonderzoek, risicoanalyses en de meldplicht. Bovendien kent de </w:t>
      </w:r>
      <w:proofErr w:type="spellStart"/>
      <w:r>
        <w:t>Wwft</w:t>
      </w:r>
      <w:proofErr w:type="spellEnd"/>
      <w:r>
        <w:t xml:space="preserve"> een opleidingsverplichting om kennis over de </w:t>
      </w:r>
      <w:proofErr w:type="spellStart"/>
      <w:r>
        <w:t>Wwft</w:t>
      </w:r>
      <w:proofErr w:type="spellEnd"/>
      <w:r>
        <w:t xml:space="preserve"> en risico’s met betrekking tot witwassen en financieren van terrorisme actueel te houden. </w:t>
      </w:r>
    </w:p>
    <w:p w:rsidR="003C3E53" w:rsidRDefault="003C3E53" w:rsidP="003C3E53">
      <w:pPr>
        <w:jc w:val="both"/>
      </w:pPr>
      <w:r>
        <w:t>Tijdens deze educatiebijeenkomst wordt u aan de hand van casuïstiek en wet- en regelgeving bijgepraat over de actuele verplichtingen en de toekomstige ontwikkelingen, de trends in handhaving en worden u handvatten aangereikt voor de implementatie van de regelgeving in de praktijk. Tijdens de bijeenkomst is voldoende ruimte voor vragen en discussie.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uitleg van de wet en de wijzigingen</w:t>
      </w:r>
    </w:p>
    <w:p w:rsidR="004E3BEB" w:rsidRPr="004E3BEB" w:rsidRDefault="004E3BEB" w:rsidP="004A4C7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uitleg over het begrip witwassen, terrorismefinanciering en typologieën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uitvoering van het cliëntenonderzoek en vastlegging daarvan</w:t>
      </w:r>
      <w:r>
        <w:rPr>
          <w:rFonts w:asciiTheme="minorHAnsi" w:hAnsiTheme="minorHAnsi" w:cs="TimesNewRomanPSMT"/>
        </w:rPr>
        <w:t xml:space="preserve"> 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risico-inventarisatie en -profilering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indicatoren voor ongebruikelijke transacties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E3BEB">
        <w:rPr>
          <w:rFonts w:asciiTheme="minorHAnsi" w:hAnsiTheme="minorHAnsi" w:cs="TimesNewRomanPSMT"/>
        </w:rPr>
        <w:t>het melden van ongebruikelijke transacties</w:t>
      </w:r>
    </w:p>
    <w:p w:rsidR="004E3BEB" w:rsidRPr="004E3BEB" w:rsidRDefault="004E3BEB" w:rsidP="004E3B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E3BEB">
        <w:rPr>
          <w:rFonts w:asciiTheme="minorHAnsi" w:hAnsiTheme="minorHAnsi" w:cs="TimesNewRomanPSMT"/>
        </w:rPr>
        <w:t>toezicht en handhaving</w:t>
      </w:r>
      <w:r>
        <w:rPr>
          <w:rFonts w:asciiTheme="minorHAnsi" w:hAnsiTheme="minorHAnsi" w:cs="TimesNewRomanPSMT"/>
        </w:rPr>
        <w:t xml:space="preserve"> </w:t>
      </w:r>
    </w:p>
    <w:p w:rsidR="004E3BEB" w:rsidRDefault="004E3BEB" w:rsidP="004E3BE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4E3BE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E3BEB">
        <w:rPr>
          <w:rFonts w:cs="Futura-CondensedExtraBold"/>
          <w:b/>
          <w:bCs/>
        </w:rPr>
        <w:t>Tijd</w:t>
      </w:r>
    </w:p>
    <w:p w:rsidR="004E3BEB" w:rsidRPr="004E3BEB" w:rsidRDefault="004E3BEB" w:rsidP="004E3BEB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13:00 - 16:00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>NOAB-leden:</w:t>
      </w:r>
      <w:r w:rsidR="007F40A5">
        <w:rPr>
          <w:rFonts w:cs="Futura-CondensedExtraBold"/>
          <w:bCs/>
        </w:rPr>
        <w:t xml:space="preserve"> </w:t>
      </w:r>
      <w:r w:rsidRPr="00E03868">
        <w:rPr>
          <w:rFonts w:cs="Futura-CondensedExtraBold"/>
          <w:bCs/>
        </w:rPr>
        <w:t xml:space="preserve">€ </w:t>
      </w:r>
      <w:r w:rsidR="004E3BEB">
        <w:rPr>
          <w:rFonts w:cs="Futura-CondensedExtraBold"/>
          <w:bCs/>
        </w:rPr>
        <w:t>124,00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4E3BEB">
        <w:rPr>
          <w:rFonts w:cs="Futura-CondensedExtraBold"/>
          <w:bCs/>
        </w:rPr>
        <w:t>155,00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4E3BEB" w:rsidRDefault="004E3BEB" w:rsidP="004E3BE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E3BEB">
        <w:rPr>
          <w:rFonts w:cs="TimesNewRomanPSMT"/>
        </w:rPr>
        <w:t xml:space="preserve">mr. </w:t>
      </w:r>
      <w:proofErr w:type="spellStart"/>
      <w:r w:rsidRPr="004E3BEB">
        <w:rPr>
          <w:rFonts w:cs="TimesNewRomanPSMT"/>
        </w:rPr>
        <w:t>Jurjan</w:t>
      </w:r>
      <w:proofErr w:type="spellEnd"/>
      <w:r w:rsidRPr="004E3BEB">
        <w:rPr>
          <w:rFonts w:cs="TimesNewRomanPSMT"/>
        </w:rPr>
        <w:t xml:space="preserve"> Geertsma is advocaat en</w:t>
      </w:r>
      <w:r>
        <w:rPr>
          <w:rFonts w:cs="TimesNewRomanPSMT"/>
        </w:rPr>
        <w:t xml:space="preserve"> </w:t>
      </w:r>
      <w:r w:rsidRPr="004E3BEB">
        <w:rPr>
          <w:rFonts w:cs="TimesNewRomanPSMT"/>
        </w:rPr>
        <w:t xml:space="preserve">partner bij </w:t>
      </w:r>
      <w:proofErr w:type="spellStart"/>
      <w:r w:rsidRPr="004E3BEB">
        <w:rPr>
          <w:rFonts w:cs="TimesNewRomanPSMT"/>
        </w:rPr>
        <w:t>JahaeRaymakers</w:t>
      </w:r>
      <w:proofErr w:type="spellEnd"/>
      <w:r w:rsidRPr="004E3BEB">
        <w:rPr>
          <w:rFonts w:cs="TimesNewRomanPSMT"/>
        </w:rPr>
        <w:t>. Zijn</w:t>
      </w:r>
      <w:r>
        <w:rPr>
          <w:rFonts w:cs="TimesNewRomanPSMT"/>
        </w:rPr>
        <w:t xml:space="preserve"> </w:t>
      </w:r>
      <w:r w:rsidRPr="004E3BEB">
        <w:rPr>
          <w:rFonts w:cs="TimesNewRomanPSMT"/>
        </w:rPr>
        <w:t xml:space="preserve">specialisatie is tucht- en </w:t>
      </w:r>
      <w:r>
        <w:rPr>
          <w:rFonts w:cs="TimesNewRomanPSMT"/>
        </w:rPr>
        <w:t>s</w:t>
      </w:r>
      <w:r w:rsidRPr="004E3BEB">
        <w:rPr>
          <w:rFonts w:cs="TimesNewRomanPSMT"/>
        </w:rPr>
        <w:t>anctierecht,</w:t>
      </w:r>
      <w:r>
        <w:rPr>
          <w:rFonts w:cs="TimesNewRomanPSMT"/>
        </w:rPr>
        <w:t xml:space="preserve"> </w:t>
      </w:r>
      <w:r w:rsidRPr="004E3BEB">
        <w:rPr>
          <w:rFonts w:cs="TimesNewRomanPSMT"/>
        </w:rPr>
        <w:t>reputatievraagstukken en</w:t>
      </w:r>
      <w:r>
        <w:rPr>
          <w:rFonts w:cs="TimesNewRomanPSMT"/>
        </w:rPr>
        <w:t xml:space="preserve"> </w:t>
      </w:r>
      <w:r w:rsidRPr="004E3BEB">
        <w:rPr>
          <w:rFonts w:cs="TimesNewRomanPSMT"/>
        </w:rPr>
        <w:t>(anti-witwas) compliance.</w:t>
      </w:r>
    </w:p>
    <w:p w:rsidR="004E3BEB" w:rsidRDefault="004E3BEB" w:rsidP="004E3BE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4E3BE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</w:t>
      </w:r>
      <w:bookmarkStart w:id="0" w:name="_GoBack"/>
      <w:bookmarkEnd w:id="0"/>
      <w:r w:rsidRPr="00E03868">
        <w:rPr>
          <w:rFonts w:cs="Futura-CondensedExtraBold"/>
          <w:b/>
          <w:bCs/>
        </w:rPr>
        <w:t>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4E3BEB">
        <w:rPr>
          <w:rFonts w:cs="TimesNewRomanPSMT"/>
        </w:rPr>
        <w:t>3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3E53"/>
    <w:rsid w:val="003C7775"/>
    <w:rsid w:val="00434590"/>
    <w:rsid w:val="004471BE"/>
    <w:rsid w:val="00453E03"/>
    <w:rsid w:val="0045402E"/>
    <w:rsid w:val="004B5463"/>
    <w:rsid w:val="004C6056"/>
    <w:rsid w:val="004E3BEB"/>
    <w:rsid w:val="005743FA"/>
    <w:rsid w:val="00682230"/>
    <w:rsid w:val="0068757D"/>
    <w:rsid w:val="006B0F64"/>
    <w:rsid w:val="007405F3"/>
    <w:rsid w:val="0077223B"/>
    <w:rsid w:val="00783FD0"/>
    <w:rsid w:val="007D6370"/>
    <w:rsid w:val="007F40A5"/>
    <w:rsid w:val="008A3450"/>
    <w:rsid w:val="008B5BBA"/>
    <w:rsid w:val="0090123C"/>
    <w:rsid w:val="00916FAE"/>
    <w:rsid w:val="0091784F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2AB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8F38-DC2E-4AF4-A82C-48E49272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2</cp:revision>
  <dcterms:created xsi:type="dcterms:W3CDTF">2019-10-31T11:27:00Z</dcterms:created>
  <dcterms:modified xsi:type="dcterms:W3CDTF">2019-10-31T11:27:00Z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